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 valamit szelíden,  elfogadó módon megtartunk a tudatosságban, az annak a megerősítése, hogy képesek vagyunk szembesülni vele, megnevezni, dolgozni vele.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Engedni, hogy a dolgok olyanok legyenek, amilyenek, nem olyasmi, amihez a legtöbbünk szokva van.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Rumi,  a 13. századi költő verse nagyon plasztikusan érzékelteti azt a szemléletváltást, amelyre szükségünk van.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Mauláná Dzsalál-ad-Dín Rúmi: A fogadó ház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emberi lény mint egy fogadó ház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Minden reggel más vendéget vár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öröm, a szomorúság és 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hitványság gyakori vendégek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nagy ritkán a tudatosság is betéved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Fogadd be őket szívesen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még ha a fájdalom is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durván bedörget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Adj neki helyet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Hisz ő is a te vendéged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Fogadd be őket szívesen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Mert új örömöket hoznak neked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szégyenkezés a rosszindulat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Borús gondolatok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Szivéllyel fogaddőket úgyszintén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Légy hálás mindegyiknek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Mert mindnyájan Istentől jönnek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 ragadd meg minket a legjobban ebben a versben? Olvasd el újra és húzd alá azokat a sorokat, amelyek különösen felkeltik a figyelmedet.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Jegyezd le a gondolataidat a verssel kapcsolatban: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